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74C938AC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 xml:space="preserve">dr </w:t>
      </w:r>
      <w:r w:rsidR="00C15246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5DA2EDA6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pomieszczeń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…….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5E9D323A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L/1032/22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1CE73E3B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 xml:space="preserve">Wynajmujący wynajmuje lokal najemcy, który ma </w:t>
      </w:r>
      <w:bookmarkStart w:id="0" w:name="_Hlk157602917"/>
      <w:r>
        <w:rPr>
          <w:rFonts w:asciiTheme="minorHAnsi" w:hAnsiTheme="minorHAnsi" w:cs="Arial"/>
          <w:color w:val="232323"/>
          <w:sz w:val="20"/>
          <w:szCs w:val="20"/>
        </w:rPr>
        <w:t xml:space="preserve">przeznaczenie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………………</w:t>
      </w:r>
      <w:r w:rsidR="004C366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bookmarkEnd w:id="0"/>
      <w:r w:rsidR="004C3662">
        <w:rPr>
          <w:rFonts w:asciiTheme="minorHAnsi" w:hAnsiTheme="minorHAnsi" w:cs="Arial"/>
          <w:color w:val="232323"/>
          <w:sz w:val="20"/>
          <w:szCs w:val="20"/>
        </w:rPr>
        <w:t>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30811896" w14:textId="77777777" w:rsidR="00E529D2" w:rsidRDefault="00E529D2" w:rsidP="00E529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………….. r. do ……………………… r. z zastrzeżeniem ust.2.</w:t>
      </w:r>
    </w:p>
    <w:p w14:paraId="6399080F" w14:textId="57B2B7D3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1 -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</w:t>
      </w:r>
      <w:r w:rsidR="00E84588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0D711ED" w14:textId="4605C430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Za ważne powody w rozumieniu ust. 2 strony uznają utratę przez Wynajmującego uprawnienia wynikającego z trwałego zarządu do wynajmowania lokalu na rzecz osób trzecich lub</w:t>
      </w:r>
      <w:r w:rsidRPr="00E529D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E529D2">
        <w:rPr>
          <w:rFonts w:asciiTheme="minorHAnsi" w:eastAsia="Times New Roman" w:hAnsiTheme="minorHAnsi" w:cs="Arial"/>
          <w:color w:val="232323"/>
          <w:sz w:val="20"/>
          <w:szCs w:val="20"/>
        </w:rPr>
        <w:t>zaległości z jakimikolwiek płatnościami ze strony Najemcy wobec Wynajmującego przez okres dłuższy niż jeden miesiąc, pomimo dodatkowego wezwania do zapłaty ze strony Wynajmującego zakreślającego dodatkowy 7-dniowy termin płatności, z zagrożeniem rozwiązania umowy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55D768D8" w14:textId="77777777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strony uznają również przypadek niewykonywania lub nienależytego wykonywania postanowień umowy przez Najemcę pomimo dodatkowego wezwania do zapłaty ze strony Wynajmującego zakreślającego dodatkowy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godzinny termin dla usunięcia uchybienia ze strony Najemcy, z zagrożeniem rozwiązania umowy, a także przypadek, gdy z przyczyn obiektywnych najemca nie będzie posiadał możliwości realizacji działalności wskazanej w par. 3 w przedmiocie najmu. </w:t>
      </w:r>
    </w:p>
    <w:p w14:paraId="3947DCDC" w14:textId="6FB4E8DF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551DAA" w14:textId="6D46EF1E" w:rsidR="006A6353" w:rsidRDefault="006A6353" w:rsidP="00272C1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>Strony mogą rozwiązać umowę za porozumieniem storn w przypadkach wskazanych w ust.4</w:t>
      </w:r>
      <w:r w:rsidR="00F6507F" w:rsidRPr="00C15246">
        <w:rPr>
          <w:rFonts w:asciiTheme="minorHAnsi" w:hAnsiTheme="minorHAnsi" w:cs="Arial"/>
          <w:color w:val="232323"/>
          <w:sz w:val="20"/>
          <w:szCs w:val="20"/>
        </w:rPr>
        <w:t>-6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A56A368" w14:textId="77777777" w:rsidR="006A6353" w:rsidRDefault="006A6353" w:rsidP="00272C10">
      <w:pPr>
        <w:ind w:left="284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708AC7F3" w14:textId="361C3C6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</w:t>
      </w:r>
      <w:r w:rsidR="008E1E35">
        <w:rPr>
          <w:rFonts w:asciiTheme="minorHAnsi" w:hAnsiTheme="minorHAnsi" w:cs="Arial"/>
          <w:sz w:val="20"/>
          <w:szCs w:val="20"/>
        </w:rPr>
        <w:t xml:space="preserve">czynszu </w:t>
      </w:r>
      <w:r w:rsidR="00FE6AFC">
        <w:rPr>
          <w:rFonts w:asciiTheme="minorHAnsi" w:hAnsiTheme="minorHAnsi" w:cs="Arial"/>
          <w:sz w:val="20"/>
          <w:szCs w:val="20"/>
        </w:rPr>
        <w:t xml:space="preserve">za wynajem jednej godziny zegarowej wynosi </w:t>
      </w:r>
      <w:r w:rsidR="00030C48">
        <w:rPr>
          <w:rFonts w:asciiTheme="minorHAnsi" w:hAnsiTheme="minorHAnsi" w:cs="Arial"/>
          <w:sz w:val="20"/>
          <w:szCs w:val="20"/>
        </w:rPr>
        <w:t>…….</w:t>
      </w:r>
      <w:r w:rsidR="00FE6AFC">
        <w:rPr>
          <w:rFonts w:asciiTheme="minorHAnsi" w:hAnsiTheme="minorHAnsi" w:cs="Arial"/>
          <w:sz w:val="20"/>
          <w:szCs w:val="20"/>
        </w:rPr>
        <w:t xml:space="preserve">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4D117AAF" w14:textId="4C6FE0CC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Do uregulowania oprócz czynszu </w:t>
      </w:r>
      <w:r w:rsidR="00BD0DF5">
        <w:rPr>
          <w:rFonts w:asciiTheme="minorHAnsi" w:hAnsiTheme="minorHAnsi" w:cs="Arial"/>
          <w:sz w:val="20"/>
          <w:szCs w:val="20"/>
        </w:rPr>
        <w:t xml:space="preserve">(który </w:t>
      </w:r>
      <w:r w:rsidR="00B2505A">
        <w:rPr>
          <w:rFonts w:asciiTheme="minorHAnsi" w:hAnsiTheme="minorHAnsi" w:cs="Arial"/>
          <w:sz w:val="20"/>
          <w:szCs w:val="20"/>
        </w:rPr>
        <w:t>stanowi również należność z tytułu  kosztów</w:t>
      </w:r>
      <w:r w:rsidRPr="009377D0">
        <w:rPr>
          <w:rFonts w:asciiTheme="minorHAnsi" w:hAnsiTheme="minorHAnsi" w:cs="Arial"/>
          <w:sz w:val="20"/>
          <w:szCs w:val="20"/>
        </w:rPr>
        <w:t xml:space="preserve"> energi</w:t>
      </w:r>
      <w:r w:rsidR="00B2505A">
        <w:rPr>
          <w:rFonts w:asciiTheme="minorHAnsi" w:hAnsiTheme="minorHAnsi" w:cs="Arial"/>
          <w:sz w:val="20"/>
          <w:szCs w:val="20"/>
        </w:rPr>
        <w:t>i</w:t>
      </w:r>
      <w:r w:rsidRPr="009377D0">
        <w:rPr>
          <w:rFonts w:asciiTheme="minorHAnsi" w:hAnsiTheme="minorHAnsi" w:cs="Arial"/>
          <w:sz w:val="20"/>
          <w:szCs w:val="20"/>
        </w:rPr>
        <w:t xml:space="preserve"> elektryczn</w:t>
      </w:r>
      <w:r w:rsidR="00B2505A">
        <w:rPr>
          <w:rFonts w:asciiTheme="minorHAnsi" w:hAnsiTheme="minorHAnsi" w:cs="Arial"/>
          <w:sz w:val="20"/>
          <w:szCs w:val="20"/>
        </w:rPr>
        <w:t>ej</w:t>
      </w:r>
      <w:r w:rsidR="00CB629D">
        <w:rPr>
          <w:rFonts w:asciiTheme="minorHAnsi" w:hAnsiTheme="minorHAnsi" w:cs="Arial"/>
          <w:sz w:val="20"/>
          <w:szCs w:val="20"/>
        </w:rPr>
        <w:t>)</w:t>
      </w:r>
      <w:r w:rsidRPr="009377D0">
        <w:rPr>
          <w:rFonts w:asciiTheme="minorHAnsi" w:hAnsiTheme="minorHAnsi" w:cs="Arial"/>
          <w:sz w:val="20"/>
          <w:szCs w:val="20"/>
        </w:rPr>
        <w:t xml:space="preserve"> będzie kwota odpowiadająca podatkowi od nieruchomości naliczonemu proporcjonalnie do wynajmowanej powierzchni i okresu trwania najmu</w:t>
      </w:r>
      <w:r w:rsidR="00D36F32">
        <w:rPr>
          <w:rFonts w:asciiTheme="minorHAnsi" w:hAnsiTheme="minorHAnsi" w:cs="Arial"/>
          <w:sz w:val="20"/>
          <w:szCs w:val="20"/>
        </w:rPr>
        <w:t xml:space="preserve"> – jeżeli dotyczy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4FB83311" w:rsidR="00225EB5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11889C7A" w14:textId="1E83BF76" w:rsidR="00030C48" w:rsidRPr="00030C48" w:rsidRDefault="00030C48" w:rsidP="00030C48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terminowych płatności za </w:t>
      </w:r>
      <w:r w:rsidR="005B7C2E">
        <w:rPr>
          <w:rFonts w:asciiTheme="minorHAnsi" w:hAnsiTheme="minorHAnsi" w:cs="Arial"/>
          <w:color w:val="232323"/>
          <w:sz w:val="20"/>
          <w:szCs w:val="20"/>
        </w:rPr>
        <w:t xml:space="preserve"> należności z tytułu czynszu i </w:t>
      </w:r>
      <w:r w:rsidR="00866B69">
        <w:rPr>
          <w:rFonts w:asciiTheme="minorHAnsi" w:hAnsiTheme="minorHAnsi" w:cs="Arial"/>
          <w:color w:val="232323"/>
          <w:sz w:val="20"/>
          <w:szCs w:val="20"/>
        </w:rPr>
        <w:t>innych należności</w:t>
      </w:r>
      <w:r w:rsidR="008E1E3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umownych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będą naliczane odsetki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przez Wynajmującego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za opóźnienie w zapłacie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w wysokości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>zgodn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z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obowiązującymi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przepisami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prawa –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odsetki ustawowe z</w:t>
      </w:r>
      <w:r w:rsidR="007D48B1">
        <w:rPr>
          <w:rFonts w:asciiTheme="minorHAnsi" w:hAnsiTheme="minorHAnsi" w:cs="Arial"/>
          <w:color w:val="232323"/>
          <w:sz w:val="20"/>
          <w:szCs w:val="20"/>
        </w:rPr>
        <w:t>a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opóźnienie w 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pod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stawie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ustawy o przeciwdziałaniu nadmiernym opóźnieniom w 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,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jest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, lub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zgodnie z kodeksem cywilnym w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nie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j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94B4312" w14:textId="77777777" w:rsidR="005F6EF6" w:rsidRPr="00030C48" w:rsidRDefault="005F6EF6" w:rsidP="00030C48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617F4820" w:rsidR="00225EB5" w:rsidRDefault="00225EB5" w:rsidP="00CE099E">
      <w:pPr>
        <w:ind w:left="720"/>
        <w:rPr>
          <w:rFonts w:asciiTheme="minorHAnsi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7E9821EE" w14:textId="2D5A92C2" w:rsidR="00030C48" w:rsidRDefault="00030C48" w:rsidP="00030C48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lastRenderedPageBreak/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59761D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3B42"/>
    <w:multiLevelType w:val="multilevel"/>
    <w:tmpl w:val="258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870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4"/>
  </w:num>
  <w:num w:numId="23">
    <w:abstractNumId w:val="5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0C48"/>
    <w:rsid w:val="00034ABA"/>
    <w:rsid w:val="00055516"/>
    <w:rsid w:val="00057E9C"/>
    <w:rsid w:val="000A1AF3"/>
    <w:rsid w:val="000A2D02"/>
    <w:rsid w:val="000C2DD3"/>
    <w:rsid w:val="000C40D4"/>
    <w:rsid w:val="000C75A2"/>
    <w:rsid w:val="000D79FE"/>
    <w:rsid w:val="000E0538"/>
    <w:rsid w:val="000E0AFB"/>
    <w:rsid w:val="001079E4"/>
    <w:rsid w:val="001332CB"/>
    <w:rsid w:val="001378A9"/>
    <w:rsid w:val="00172E59"/>
    <w:rsid w:val="00183613"/>
    <w:rsid w:val="0019747D"/>
    <w:rsid w:val="001A4F46"/>
    <w:rsid w:val="001C1C88"/>
    <w:rsid w:val="001C4CA3"/>
    <w:rsid w:val="001D1DD9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72C10"/>
    <w:rsid w:val="00280D7E"/>
    <w:rsid w:val="00291A27"/>
    <w:rsid w:val="002952FC"/>
    <w:rsid w:val="002A0749"/>
    <w:rsid w:val="002B246E"/>
    <w:rsid w:val="002C0360"/>
    <w:rsid w:val="002D053E"/>
    <w:rsid w:val="002E0F84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0DD4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56365"/>
    <w:rsid w:val="00476270"/>
    <w:rsid w:val="00480D82"/>
    <w:rsid w:val="00485789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9761D"/>
    <w:rsid w:val="005A0392"/>
    <w:rsid w:val="005B7C2E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A6353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D48B1"/>
    <w:rsid w:val="007E2426"/>
    <w:rsid w:val="007F2814"/>
    <w:rsid w:val="00802A60"/>
    <w:rsid w:val="00807F82"/>
    <w:rsid w:val="008125F7"/>
    <w:rsid w:val="00813CD9"/>
    <w:rsid w:val="008172F0"/>
    <w:rsid w:val="00826072"/>
    <w:rsid w:val="00846D70"/>
    <w:rsid w:val="00855935"/>
    <w:rsid w:val="00860358"/>
    <w:rsid w:val="00866B69"/>
    <w:rsid w:val="00877E7E"/>
    <w:rsid w:val="008A0D62"/>
    <w:rsid w:val="008E1E35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2505A"/>
    <w:rsid w:val="00B466C3"/>
    <w:rsid w:val="00B52D00"/>
    <w:rsid w:val="00B653C2"/>
    <w:rsid w:val="00B67D54"/>
    <w:rsid w:val="00BD0DF5"/>
    <w:rsid w:val="00C14DF5"/>
    <w:rsid w:val="00C15246"/>
    <w:rsid w:val="00C34AFA"/>
    <w:rsid w:val="00C548F8"/>
    <w:rsid w:val="00C63F59"/>
    <w:rsid w:val="00C67AD3"/>
    <w:rsid w:val="00C820C9"/>
    <w:rsid w:val="00CB4931"/>
    <w:rsid w:val="00CB629D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29D2"/>
    <w:rsid w:val="00E53A64"/>
    <w:rsid w:val="00E6253A"/>
    <w:rsid w:val="00E62AB5"/>
    <w:rsid w:val="00E81682"/>
    <w:rsid w:val="00E84588"/>
    <w:rsid w:val="00E93BEB"/>
    <w:rsid w:val="00E96FB0"/>
    <w:rsid w:val="00EA5E89"/>
    <w:rsid w:val="00EA7A2B"/>
    <w:rsid w:val="00EB364E"/>
    <w:rsid w:val="00EC31FB"/>
    <w:rsid w:val="00EC5DB8"/>
    <w:rsid w:val="00ED1E67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6507F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0F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1940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2023-08-25T09:52:00Z</cp:lastPrinted>
  <dcterms:created xsi:type="dcterms:W3CDTF">2024-02-01T12:49:00Z</dcterms:created>
  <dcterms:modified xsi:type="dcterms:W3CDTF">2024-02-01T12:49:00Z</dcterms:modified>
</cp:coreProperties>
</file>