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76026C68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Wrocław</w:t>
      </w:r>
      <w:r w:rsidR="00CD4DC6">
        <w:rPr>
          <w:rFonts w:asciiTheme="minorHAnsi" w:hAnsiTheme="minorHAnsi" w:cs="Arial"/>
          <w:sz w:val="20"/>
          <w:szCs w:val="20"/>
        </w:rPr>
        <w:t xml:space="preserve">  </w:t>
      </w:r>
      <w:r w:rsidR="00F959D6">
        <w:rPr>
          <w:rFonts w:asciiTheme="minorHAnsi" w:hAnsiTheme="minorHAnsi" w:cs="Arial"/>
          <w:sz w:val="20"/>
          <w:szCs w:val="20"/>
        </w:rPr>
        <w:t xml:space="preserve">,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4B973DC3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reprezentacji 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77777777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…………………………..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…………………………………………..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77777777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łącznie zwanych w dalszej treści umowy  STRONAMI,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zawarto umowę następującej treści 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77777777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 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rozstrzygnięcia i wyboru przez Wynajmującego oferty Najemcy złożonej w toku  postępowania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AD0BE83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>  w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7777777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ziałalności zadeklarowanej  w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77777777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przez 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przeciwpożarowego  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>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7909380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77777777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przelewem na bankowy rac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>hunek  bieżący Wynajmującego, w 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oparciu  o wystawioną przez  Wynajmującego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1663A428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elektryczną  związanych z eksploatacją lokalu wg wskazań </w:t>
      </w:r>
      <w:proofErr w:type="spellStart"/>
      <w:r w:rsidRPr="009377D0">
        <w:rPr>
          <w:rFonts w:asciiTheme="minorHAnsi" w:hAnsiTheme="minorHAnsi" w:cs="Arial"/>
          <w:sz w:val="20"/>
          <w:szCs w:val="20"/>
        </w:rPr>
        <w:t>podlicznika</w:t>
      </w:r>
      <w:proofErr w:type="spellEnd"/>
      <w:r w:rsidRPr="009377D0">
        <w:rPr>
          <w:rFonts w:asciiTheme="minorHAnsi" w:hAnsiTheme="minorHAnsi" w:cs="Arial"/>
          <w:sz w:val="20"/>
          <w:szCs w:val="20"/>
        </w:rPr>
        <w:t xml:space="preserve">. Stan </w:t>
      </w:r>
      <w:proofErr w:type="spellStart"/>
      <w:r w:rsidRPr="009377D0">
        <w:rPr>
          <w:rFonts w:asciiTheme="minorHAnsi" w:hAnsiTheme="minorHAnsi" w:cs="Arial"/>
          <w:sz w:val="20"/>
          <w:szCs w:val="20"/>
        </w:rPr>
        <w:t>podlicznika</w:t>
      </w:r>
      <w:proofErr w:type="spellEnd"/>
      <w:r w:rsidRPr="009377D0">
        <w:rPr>
          <w:rFonts w:asciiTheme="minorHAnsi" w:hAnsiTheme="minorHAnsi" w:cs="Arial"/>
          <w:sz w:val="20"/>
          <w:szCs w:val="20"/>
        </w:rPr>
        <w:t xml:space="preserve">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proofErr w:type="spellStart"/>
      <w:r w:rsidR="0001660C">
        <w:rPr>
          <w:rFonts w:asciiTheme="minorHAnsi" w:hAnsiTheme="minorHAnsi" w:cs="Arial"/>
          <w:sz w:val="20"/>
          <w:szCs w:val="20"/>
        </w:rPr>
        <w:t>podlicznika</w:t>
      </w:r>
      <w:proofErr w:type="spellEnd"/>
      <w:r w:rsidR="0001660C">
        <w:rPr>
          <w:rFonts w:asciiTheme="minorHAnsi" w:hAnsiTheme="minorHAnsi" w:cs="Arial"/>
          <w:sz w:val="20"/>
          <w:szCs w:val="20"/>
        </w:rPr>
        <w:t>– jeżeli dotyczy.</w:t>
      </w:r>
    </w:p>
    <w:p w14:paraId="4D117AAF" w14:textId="7AE66AA8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 w:rsidR="0001660C">
        <w:rPr>
          <w:rFonts w:asciiTheme="minorHAnsi" w:hAnsiTheme="minorHAnsi" w:cs="Arial"/>
          <w:sz w:val="20"/>
          <w:szCs w:val="20"/>
        </w:rPr>
        <w:t>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  <w:bookmarkStart w:id="0" w:name="_GoBack"/>
      <w:bookmarkEnd w:id="0"/>
    </w:p>
    <w:p w14:paraId="4D863519" w14:textId="04F8B97D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poprzedzającym  Najemca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54F0B0FF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przypadku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0D94A47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Po zakończeniu umowy najmu, Najemca zobowiązany jest zwrócić Wynajmującemu przedmiot najmu w stanie nie pogorszonym  ponad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przypadku potrącenia dokonanego przez Wynajmującego w okresie trwania stosunku najmu Najemca zobowiązuje się do uzupełnienia środków pieniężnych na poczet kaucji  w wysokości wynikającej z oświadczenia Wynajmującego o potrąceniu w terminie 7 dni od daty zawiadomienia Najemcy przez Wynajmującego  o dokonanym  potrąceniu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Umowę sporządzono w 2 jednobrzmiących egzemplarzach, po 1 dla każdej  ze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pietrzak">
    <w15:presenceInfo w15:providerId="None" w15:userId="epietr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F7908"/>
    <w:rsid w:val="00422F02"/>
    <w:rsid w:val="00427B0D"/>
    <w:rsid w:val="0043238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1819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dom</cp:lastModifiedBy>
  <cp:revision>2</cp:revision>
  <cp:lastPrinted>2021-02-23T11:44:00Z</cp:lastPrinted>
  <dcterms:created xsi:type="dcterms:W3CDTF">2021-04-26T06:10:00Z</dcterms:created>
  <dcterms:modified xsi:type="dcterms:W3CDTF">2021-04-26T06:10:00Z</dcterms:modified>
</cp:coreProperties>
</file>