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204EE8">
        <w:t>B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3869D1">
        <w:rPr>
          <w:b/>
        </w:rPr>
        <w:t xml:space="preserve"> – CZĘŚĆ 2</w:t>
      </w:r>
    </w:p>
    <w:p w:rsidR="00E57ABC" w:rsidRDefault="00204EE8" w:rsidP="00E57ABC">
      <w:pPr>
        <w:ind w:left="567" w:right="566"/>
        <w:jc w:val="center"/>
        <w:rPr>
          <w:b/>
        </w:rPr>
      </w:pPr>
      <w:r>
        <w:rPr>
          <w:b/>
        </w:rPr>
        <w:t>OPROGRAMOWANIE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373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4984"/>
        <w:gridCol w:w="1418"/>
        <w:gridCol w:w="1276"/>
        <w:gridCol w:w="2249"/>
        <w:gridCol w:w="1134"/>
        <w:gridCol w:w="1134"/>
        <w:gridCol w:w="1275"/>
        <w:gridCol w:w="1418"/>
      </w:tblGrid>
      <w:tr w:rsidR="00672A5F" w:rsidRPr="00E57ABC" w:rsidTr="007A78AA">
        <w:tc>
          <w:tcPr>
            <w:tcW w:w="485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4984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SZCZEGÓŁOWY OPIS</w:t>
            </w:r>
          </w:p>
        </w:tc>
        <w:tc>
          <w:tcPr>
            <w:tcW w:w="1418" w:type="dxa"/>
          </w:tcPr>
          <w:p w:rsidR="00672A5F" w:rsidRPr="00E57ABC" w:rsidRDefault="00672A5F" w:rsidP="007A78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DOSTAWY</w:t>
            </w:r>
          </w:p>
        </w:tc>
        <w:tc>
          <w:tcPr>
            <w:tcW w:w="1276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2249" w:type="dxa"/>
          </w:tcPr>
          <w:p w:rsidR="00672A5F" w:rsidRDefault="00672A5F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  <w:r w:rsidR="00A83099">
              <w:rPr>
                <w:sz w:val="18"/>
                <w:szCs w:val="18"/>
              </w:rPr>
              <w:t xml:space="preserve"> OPROGRAMOWANIA</w:t>
            </w:r>
          </w:p>
          <w:p w:rsidR="00672A5F" w:rsidRPr="00E57ABC" w:rsidRDefault="00672A5F" w:rsidP="00A83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83099">
              <w:rPr>
                <w:sz w:val="16"/>
                <w:szCs w:val="16"/>
              </w:rPr>
              <w:t>Opis funkcji programu</w:t>
            </w:r>
            <w:r w:rsidRPr="002205B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134" w:type="dxa"/>
          </w:tcPr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275" w:type="dxa"/>
          </w:tcPr>
          <w:p w:rsidR="00672A5F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</w:p>
        </w:tc>
        <w:tc>
          <w:tcPr>
            <w:tcW w:w="1418" w:type="dxa"/>
          </w:tcPr>
          <w:p w:rsidR="00672A5F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  <w:p w:rsidR="00672A5F" w:rsidRPr="00E57ABC" w:rsidRDefault="00672A5F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</w:p>
        </w:tc>
      </w:tr>
      <w:tr w:rsidR="001A2E10" w:rsidRPr="00E57ABC" w:rsidTr="001B474E">
        <w:tc>
          <w:tcPr>
            <w:tcW w:w="485" w:type="dxa"/>
            <w:vAlign w:val="center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84" w:type="dxa"/>
            <w:vAlign w:val="center"/>
          </w:tcPr>
          <w:p w:rsidR="001A2E10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System transportowy </w:t>
            </w:r>
            <w:proofErr w:type="spellStart"/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EuroTrans</w:t>
            </w:r>
            <w:proofErr w:type="spellEnd"/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F4A7D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2008</w:t>
            </w: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 lub równoważny </w:t>
            </w:r>
          </w:p>
          <w:p w:rsidR="001A2E10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Licencja : EDU</w:t>
            </w:r>
          </w:p>
          <w:p w:rsidR="001A2E10" w:rsidRPr="00FF4A7D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Ilość Stanowisk: 16</w:t>
            </w:r>
          </w:p>
          <w:p w:rsidR="001A2E10" w:rsidRPr="00FF4A7D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Wersja Językowa: PL</w:t>
            </w:r>
          </w:p>
          <w:p w:rsidR="001A2E10" w:rsidRPr="00FF4A7D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Długość licencji: Wieczysta</w:t>
            </w:r>
          </w:p>
          <w:p w:rsidR="001A2E10" w:rsidRPr="00FF4A7D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Wielomodułowy system informatyczny. Przeznaczony dla przedsiębiorstw zajmujących się szeroko pojętą problematyką transportu, spedycji, logistyki. Swoją funkcjonalnością zapewniający pełne wsparcie oraz automatyzacje prac w przedsiębiorstwie. System pozwalający na pracę on/off </w:t>
            </w:r>
            <w:proofErr w:type="spellStart"/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line</w:t>
            </w:r>
            <w:proofErr w:type="spellEnd"/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firmom wielooddziałowym. System współpracujący z bazą danych SQL, pracujący w środowisku WIN98/WINNT/WIN XP/Server 2000/Server 2003</w:t>
            </w:r>
          </w:p>
          <w:p w:rsidR="001A2E10" w:rsidRPr="00FF4A7D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System obejmuje różnorodną specyfikę transportu:</w:t>
            </w:r>
          </w:p>
          <w:p w:rsidR="001A2E10" w:rsidRPr="00FF4A7D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•</w:t>
            </w: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transport cało pojazdowy kraj zagranica</w:t>
            </w:r>
          </w:p>
          <w:p w:rsidR="001A2E10" w:rsidRPr="00FF4A7D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•</w:t>
            </w: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zbiorówki kraj, zagranica</w:t>
            </w:r>
          </w:p>
          <w:p w:rsidR="001A2E10" w:rsidRPr="00FF4A7D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•</w:t>
            </w: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UWAGA : transport i spedycja - wersja dla szkół i uczelni (z zestawem ćwiczeń) </w:t>
            </w:r>
          </w:p>
          <w:p w:rsidR="001A2E10" w:rsidRPr="00FF4A7D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•</w:t>
            </w: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 xml:space="preserve">logistyka </w:t>
            </w:r>
          </w:p>
          <w:p w:rsidR="001A2E10" w:rsidRPr="00FF4A7D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•</w:t>
            </w: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warsztat, magazyn</w:t>
            </w:r>
          </w:p>
          <w:p w:rsidR="001A2E10" w:rsidRPr="00FF4A7D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•</w:t>
            </w: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ab/>
              <w:t>transport odpadów.</w:t>
            </w:r>
          </w:p>
          <w:p w:rsidR="001A2E10" w:rsidRPr="00D477CC" w:rsidRDefault="001A2E10" w:rsidP="00724FA7">
            <w:pPr>
              <w:suppressAutoHyphens/>
              <w:snapToGrid w:val="0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System posiadający moduły: kontrahenci (rejestrowanie kontrahentów według wybranego klucza, rejestrowanie ważnych zdarzeń dotyczących kontaktów, media kontaktowe: telefon fax, konto e-mail, dowolne sortowanie, wyszukiwanie, baza wspólna dla wszystkich modułów programu); pojazdy (kartoteki pojazdów, naczep dokładne informacji o pojeździe i terminach przeglądów, kartoteka kierowców terminy badań, monity przypominające o kończeniu się badań przeglądów normy zużycia paliwa), naczepy, kierowcy; spedycja samochodowa (</w:t>
            </w:r>
            <w:proofErr w:type="spellStart"/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całopojazdowa</w:t>
            </w:r>
            <w:proofErr w:type="spellEnd"/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, drobnica), rozliczenie zlecenia, fakturowanie; Monitor termonów, zarządzanie taborem; CMR; Rozliczanie kart </w:t>
            </w:r>
            <w:r w:rsidRPr="00FF4A7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lastRenderedPageBreak/>
              <w:t>drogowych oraz delegacji; Analizy i zestawienia; Rejestry: faktur, not, korekt; Rozliczanie frachtów morskich oraz kolejowych (oferty, stawki, wykonanie, rozliczenia); Dyski instalacyjne, instrukcja i zeszyty ćwiczeń.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ŚWIDNICA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LEGNICA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1A2E10" w:rsidRPr="00E57ABC" w:rsidRDefault="001A2E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1A2E10" w:rsidRPr="00E57ABC" w:rsidRDefault="001A2E10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1A61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1A6183">
            <w:pPr>
              <w:jc w:val="center"/>
              <w:rPr>
                <w:sz w:val="18"/>
                <w:szCs w:val="18"/>
              </w:rPr>
            </w:pPr>
          </w:p>
        </w:tc>
      </w:tr>
      <w:tr w:rsidR="001A2E10" w:rsidRPr="00E57ABC" w:rsidTr="007A78AA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4984" w:type="dxa"/>
          </w:tcPr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SOLIDWORKS 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EDU Edition Network wraz z roczną subskrypcją lub równoważne 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Licencja : EDU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Ilość Stanowisk: 20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OPROGRAMOWANIE POWINNO ZOWIERAĆ 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-Oprogramowanie w wersji edukacyjnej, oprogramowanie do parametrycznego modelowania trójwymiarowego (CAD 3D). Możliwość zaprojektowania modeli bryłowych, a także arkuszy blach, konstrukcji spawanych, form, modeli powierzchniowych, złożenie wszystkich elementów w jeden projekt oraz przygotowanie dokumentacji produkcyjnej. 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-Możliwość przeprowadzania symulacji wytrzymałościowych tworzonych produktów, z jednoczesnym zachowaniem wysokiej rzetelności wyników. 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-moduł dedykowany do analizy mechaniki płynów (CFD). Narzędzie powinno przeprowadzać symulacje przepływu płynów, zaawansowane analizy termiczne, analizy wymiany ciepła pomiędzy projektowanymi podzespołami a predefiniowanym medium, sprawdzić komfort termiczny budynków mieszkalnych (moduł HVAC) oraz przeprowadzać wyspecjalizowane symulacje chłodzenia komponentów elektronicznych (moduł </w:t>
            </w:r>
            <w:proofErr w:type="spellStart"/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Electronic</w:t>
            </w:r>
            <w:proofErr w:type="spellEnd"/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Cooling</w:t>
            </w:r>
            <w:proofErr w:type="spellEnd"/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). 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-Moduł pozwalającym na tworzenie analiz ruchu. Możliwość symulacji odzwierciedlających realne zachowanie poruszających się i oddziaływających na siebie obiektów. 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-Możliwość oceny oddziaływania danego produktu na środowisko naturalne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-Moduł dedykowany do tworzenia symulacji procesów wtrysku tworzyw sztucznych. Narzędzie powinno umożliwiać poprawne zaprojektowanie procesu produkcyjnego elementów wykonanych z materiałów polimerowych. 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-Możliwość projektowania układów elektrycznych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-Możliwość  tworzenie wysokiej jakości wizualizacji, a także </w:t>
            </w: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lastRenderedPageBreak/>
              <w:t xml:space="preserve">animacji. 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-Możliwość stworzenia profesjonalnej dokumentacji użytkowej, takiej jak: instrukcje montażu, podręczniki serwisowe, katalogi produktu, animacje, interaktywne prezentacje, zawartość stron www. 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-Możliwość tworzenia profesjonalnych rysunków 2D lub edytować istniejące już pliki DWG/DXF. 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-Możliwość programowania maszyn CNC</w:t>
            </w:r>
          </w:p>
          <w:p w:rsidR="001A2E10" w:rsidRPr="009B0CD9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-Podręcznik „Podstawy projektowania i symulacji 3D“ Kompleksowy podręcznik w formie elektronicznej 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B0CD9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-Dostęp do materiałów edukacyjnych</w:t>
            </w:r>
          </w:p>
        </w:tc>
        <w:tc>
          <w:tcPr>
            <w:tcW w:w="1418" w:type="dxa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ŚWIDNICA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7A78AA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4984" w:type="dxa"/>
          </w:tcPr>
          <w:p w:rsidR="001A2E10" w:rsidRPr="009006FD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006FD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CAMWorks</w:t>
            </w:r>
            <w:proofErr w:type="spellEnd"/>
            <w:r w:rsidRPr="009006FD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006FD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Bachelor</w:t>
            </w:r>
            <w:proofErr w:type="spellEnd"/>
            <w:r w:rsidRPr="009006FD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 lub równoważny</w:t>
            </w:r>
          </w:p>
          <w:p w:rsidR="001A2E10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9006FD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Typ licencji: sieciowa</w:t>
            </w:r>
          </w:p>
          <w:p w:rsidR="001A2E10" w:rsidRPr="009006FD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Licencja: EDU</w:t>
            </w:r>
          </w:p>
          <w:p w:rsidR="001A2E10" w:rsidRPr="009006FD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9006FD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Ilość stanowisk: 20</w:t>
            </w:r>
          </w:p>
          <w:p w:rsidR="001A2E10" w:rsidRPr="009006FD" w:rsidRDefault="001A2E10" w:rsidP="00724FA7">
            <w:pPr>
              <w:suppressAutoHyphens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9006F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Oprogramowanie powinno zawierać 3 osiowe frezowanie + toczenie+ frezowanie z toczeniem + wycinanie EDM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9006F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Oprogramowanie CAM  służące do programowania maszyn CNC. oprogramowania powinno umożliwiać przygotowanie obróbki frezowania od 2,5 osi aż po zaawansowaną symultaniczną obróbkę w 4 i 5 osiach, toczenie 2/4 osie, toczenie z frezowaniem, frezowania rotacyjnego (ślimacznice itp.), oraz obróbki elektrodrążenia EDM 2/4 osie. Opracowany proces technologiczny powinien być w pełni kontrolowalny przez użytkownika i symulowany na stanowisku komputerowym.</w:t>
            </w:r>
          </w:p>
        </w:tc>
        <w:tc>
          <w:tcPr>
            <w:tcW w:w="1418" w:type="dxa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ŚWIDNICA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984" w:type="dxa"/>
            <w:vAlign w:val="center"/>
          </w:tcPr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Smart sprzedaż i Smart zamówienia lub równoważny 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Licencja :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Komercyjna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Ilość Stanowisk: bez ograniczeń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Długość licencji: Wieczysta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Program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powinien 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umożliwia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ć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sporządzenie następujących dokumentów: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faktury krajowe (w tym proforma, marża, wewnętrzne);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-faktury unijne i poza Unię, walutowe;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-faktury zaliczkowe i rozliczenie zaliczek;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-faktury korygujące;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-oferty handlowe;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-rezerwacja towaru w magazynie.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 xml:space="preserve">Program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powinien 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umożliwia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ć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seryjne drukowanie faktur, zapis w formacie PDF oraz automatyczne uzupełnianie danych adresowych klientów na podstawie NIP-u lub REGON-u. 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-generowanie zamówień indywidualnych i grupowych;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generowanie zamówień w oparciu o sprzedaż lub ustalone wcześniej dane programowe np. osiągnięcie stanów minimalnych;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-scalanie wielu zamówień do jednego;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-podział zamówień ze względu na stan realizacji;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-uwzględnienie czasu dostawy przy zamówieniach;</w:t>
            </w:r>
          </w:p>
          <w:p w:rsidR="001A2E10" w:rsidRPr="00D477CC" w:rsidRDefault="001A2E10" w:rsidP="00724FA7">
            <w:pPr>
              <w:suppressAutoHyphens/>
              <w:snapToGrid w:val="0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-powiązanie z modułem sprzedaż.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LUBAŃ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4984" w:type="dxa"/>
            <w:vAlign w:val="center"/>
          </w:tcPr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Logistyczny Pakiet Edukacyjny </w:t>
            </w:r>
            <w:proofErr w:type="spellStart"/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MonZa</w:t>
            </w:r>
            <w:proofErr w:type="spellEnd"/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lub równoważny 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Licencja :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EDU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Ilość Stanowisk: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16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Długość licencji: Wieczysta</w:t>
            </w:r>
            <w:r w:rsidRPr="00D477C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System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powinien obsługiwać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przyjęcia/wydania do/z magazynu wszelakich jednostek magazynowych, które można zidentyfikować po odczytaniu kodu kreskowego GS1. Dzięki temu systemowi możemy zasymulować pracę magazynu w sali wykładowo - laboratoryjnej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. System 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powinien 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posiada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ć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wiele funkcji, umożliwiających wykonanie szczegółowych analiz danych. Zakres analiz obejmuje klasyfikację asortymentu oraz analizę zapasów. Dodatkowo program pozwala na wygenerowanie przejrzystych wykresów oraz tabel, na podstawie, których można w łatwy sposób prezentować wyniki analiz. Elektroniczna Platforma Logistyczna  (</w:t>
            </w:r>
            <w:proofErr w:type="spellStart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ePL</w:t>
            </w:r>
            <w:proofErr w:type="spellEnd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Edu</w:t>
            </w:r>
            <w:proofErr w:type="spellEnd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) to jest  dostępna  poprzez przeglądarkę internetową, a więc  można z niej korzystać  z dowolnego miejsca. Dzięki platformie uczniowie przeprowadzają   symulację   działań  przedsiębiorstwa w otoczeniu rynkowym:   budować  sieci powiązań logistycznych i optymalizować  łańcuch dostaw. Dodatkowym atutem </w:t>
            </w:r>
            <w:proofErr w:type="spellStart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ePL</w:t>
            </w:r>
            <w:proofErr w:type="spellEnd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Edu</w:t>
            </w:r>
            <w:proofErr w:type="spellEnd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jest moduł controlingowy, który pozwala na monitorowanie  opłacalności naszych działań biznesowych prowadzonych na platformie.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LUBAŃ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984" w:type="dxa"/>
            <w:vAlign w:val="center"/>
          </w:tcPr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oprogramowanie do tras pojazdów lub równoważny 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 powinno zawierać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Załączniki zbiorcze: dla zleceniodawców, dla przewoźników. Zlecenia wyjazdu (kar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ta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 xml:space="preserve">drogowa); rejestr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dokumentów,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wyposażenie</w:t>
            </w:r>
            <w:proofErr w:type="spellEnd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pracowników (kierowców, samochodów); historia zdarzeń samochodów (historia napraw oraz przeglądów samochodów); upoważnienia (np. dla kierowców lub prosta awizacja dostawy); Sprzedaż: faktury krajowe, faktury walutowe; faktury zaliczkowe i rozliczenie zaliczek; faktury VAT w PLN; faktura dwuwalutowa; nota kredytowa NOWOŚĆ; noty obciążeniowe;  noty odsetkowe; korekty; duplikaty dokumentów sprzedaży; noty korygujące; wezwania do zapłaty (przypomnienie, wezwanie, wezwanie ostateczne);  kompensaty. Windykacja. Dokumenty kosztowe.  Zapłaty za dokumenty kosztowe.  Zapłaty za dokumenty sprzedaży.  Terminarz - ważne terminy np. OC, AC, przeglądy, badania.  Notatki, baza plików, tabele kursów walut obcych wg NBP; przelewy elektroniczne; 30 raportów dodatkowych. Funkcje podstawowe: import danych kontrahentów z Trans, TIMOCOM, VAT UE, GUS.  Możliwość wysyłania emailem każdego dokumenty bezpośrednio z programu w dowolnym formacie pliku. Eksport danych do XLS. Definiowanie dowolnych statusów dokumentów oraz kolorowanie wierszy w zależności od statusu dokumentu. Generator raportów - dowolna modyfikacja oraz tworzenie nowych raportów, wzorców wydruków. Profile użytkowników - rozbudowany system uprawnień. </w:t>
            </w:r>
            <w:proofErr w:type="spellStart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Wielooddziałowość</w:t>
            </w:r>
            <w:proofErr w:type="spellEnd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. Praca zdalna/terminalowa.    Automatyczny import tabel NBP.  Automatyczne mailing zaległych płatności. Wysyłanie </w:t>
            </w:r>
            <w:proofErr w:type="spellStart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sms'ów</w:t>
            </w:r>
            <w:proofErr w:type="spellEnd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przez ERA OMNIX. Eksport dokumentów sprzedaży do systemu finansowo-księgowego. Rejestr zdarzeń - szczegółowy spis wszystkich czynności użytkowników programu. Dostosowanie widoku tabel z danymi do własnych potrzeb -ukrywanie/ dodawanie kolumn, sortowanie, grupowanie danych, filtracje zaawansowane, sumy, </w:t>
            </w:r>
            <w:proofErr w:type="spellStart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podsum</w:t>
            </w:r>
            <w:proofErr w:type="spellEnd"/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1. POLKOWICE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4984" w:type="dxa"/>
            <w:vAlign w:val="center"/>
          </w:tcPr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9E7BF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oprogramowanie dla transportu i spedycji</w:t>
            </w: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lub równoważny 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Licencja : EDU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Ilość Stanowisk: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20</w:t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Długość licencji: Wieczysta</w:t>
            </w:r>
            <w:r w:rsidRPr="0079350D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ab/>
            </w:r>
          </w:p>
          <w:p w:rsidR="001A2E10" w:rsidRPr="0079350D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Kompleksowy system do obsługi spedycji i transportu.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Funkcje podstawowe: dokumenty: zlecenia transportowe i spedycyjne, faktury, noty obciążeniowe, noty odsetkowe, 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 xml:space="preserve">przychody, koszty. Wszystkie dokumenty są podzielone na własne (wystawione przez firmę i wysłane kontrahentowi) i obce (otrzymane, wystawione przez klienta) biblioteki powiązane ze zleceniami: trasy, towary, miejsca załadunku i rozładunku, odprawy celne i wiele innych cenniki usług transportowych z możliwością zdefiniowania różnych cenników dla różnych kontrahentów wyjazdy (karty drogowe), rozliczanie zużycia paliwa i </w:t>
            </w:r>
            <w:proofErr w:type="spellStart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AdBlue</w:t>
            </w:r>
            <w:proofErr w:type="spellEnd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, kilometrów (w tym ładownych, pustych, w kraju, za granicą), kontrola przekroczeń zużycia paliwa, rozliczenie godzin pracy, kosztów (w tym kosztów zakupu paliwa), obliczanie wyniku finansowego delegacji itp. rozliczenie diet i ryczałtów za noclegi rozrachunki z kontrahentami, przelewy, kompensaty, kontrola salda płatniczego wzorce powtarzających się zleceń i faktur kontrola i automatyczne ostrzeganie o </w:t>
            </w:r>
            <w:proofErr w:type="spellStart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niewyfakturowanych</w:t>
            </w:r>
            <w:proofErr w:type="spellEnd"/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zleceniach kontrola i automatyczne ostrzeganie o upływających terminach płatności oraz terminów dotyczących firmy, kierowców (np. ważność uprawnień), taboru (np. przeglądy, ubezpieczenia) i kontrahentów (np. OCP) opcje pomocnicze: ewidencja korespondencji, tabele kursów, lista krajów i walut zestawienia i analizy: rachunek wyników, zestawienie zleceń, dokumentów płatniczych, rejestry VAT i wiele innych kreatory wydruków: możliwość zdefiniowania wyglądu każdego dokumentu własnego (wysyłanego kontrahentowi), w szczególności zlecenia dla przewoźnika, potwierdzenie przyjęcia zlecenia dla zleceniodawcy, faktury, noty odsetkowej i obciążeniowej, propozycji kompensaty, wezwania do zapłaty itp. Kreator umożliwia m.in. zdefiniowanie różnych szablonów wydruków (np. różne języki, różna zawartość, różne dopiski na dokumentach) różne parametry pracy programu (ustawianie stawek i momentów podatkowych, sposobu numerowania dokumentów, szablonów frachtów i wiele innych) bezpieczeństwo i ochrona danych: archiwizacja, hasła dostępu, lista uprawnionych operatorów, możliwość zdefiniowania dostępu do poszczególnych opcji i tabel dla   poszczególnych operatorów, możliwość ukrycia przed operatorem dokumentów innego operatora itp., możliwość filtrowania tabel, wyszukiwania, sortowania wg dowolnych pól, eksportowania danych do EXCEL-a możliwość pracy terminalowej. Program jest </w:t>
            </w:r>
            <w:r w:rsidRPr="0079350D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napisany w technologii klient-serwer, co oznacza, że może być używany terminalowo czyli do bazy danych można się podłączać z dowolnego komputera na świecie z dostępem do Internetu, system serwisowy bazy danych: automatyczne aktualizacje poprawek, zdalna rejestracja licencji i jej rozszerzeń itp.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POLKOWICE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4984" w:type="dxa"/>
            <w:vAlign w:val="center"/>
          </w:tcPr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Program do zarządzania firmą transportową lub równoważny 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Licencja : EDU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Ilość Stanowisk: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32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Długość licencji: Wieczysta</w:t>
            </w: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ab/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Powinien zawierać: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Zlecenia: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Transportu, spedycji, multimodalne, podrzędne, kontenerowe, dowolne inne zdefiniowane przez użytkownika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Listy przewozowe: CMR, krajowe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Załączniki zbiorcze: dla zleceniodawców, dla przewoźników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Zlecenia wyjazdu (karta drogowa)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Rejestr dokumentów AETR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Wyposażenie pracowników (kierowców, samochodów)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Historia zdarzeń samochodów (historia napraw oraz przeglądów samochodów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Upoważnienia (np. dla kierowców lub prosta awizacja dostawy)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Sprzedaż:  faktury krajowe, faktury walutowe, faktury zaliczkowe i rozliczenie zaliczek, faktury VAT w PLN, faktura dwuwalutowa, nota kredytowa ,  noty obciążeniowe, noty odsetkowe, korekty, duplikaty dokumentów sprzedaży, noty korygujące, wezwania do zapłaty (</w:t>
            </w:r>
            <w:proofErr w:type="spellStart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przypomninie</w:t>
            </w:r>
            <w:proofErr w:type="spellEnd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, wezwanie, wezwanie ostateczne), kompensaty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Windykacja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Dokumenty kosztowe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Zapłaty za dokumenty kosztów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Zapłaty za dokumenty sprzedaży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Terminarz - ważne </w:t>
            </w:r>
            <w:proofErr w:type="spellStart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temriny</w:t>
            </w:r>
            <w:proofErr w:type="spellEnd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np. OC, AC, przeglądy, badani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Notatki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Baza plików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Tabele kursów walut obcych wg NBP, Przelewy elektroniczne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Import danych kontrahentów z Trans, TIMOCOM, VAT UE, GUS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Możliwość wysyłania emailem każdego dokumenty bezpośrednio z programu w dowolnym formacie pliku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Eksport danych do XLS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Definiowanie dowolnych statusów dokumentów oraz kolorowanie wierszy w zależności od statusu dokumentu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Generator raportów - dowolna modyfikacja oraz tworzenie nowych raportów, wzorców wydruków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Profile użytkowników - rozbudowany system uprawnień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proofErr w:type="spellStart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Wielooddziałowość</w:t>
            </w:r>
            <w:proofErr w:type="spellEnd"/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Praca zdalna/terminalowa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Automatyczny import tabel NBP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Automatyczne mailing zaległych płatności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Wysyłanie </w:t>
            </w:r>
            <w:proofErr w:type="spellStart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sms'ów</w:t>
            </w:r>
            <w:proofErr w:type="spellEnd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przez ERA OMNIX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Eksport dokumentów sprzedaży do systemu finansowo-księgowego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Rejestr zdarzeń - szczegółowy spis wszystkich czynności użytkowników programu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Dostosowanie widoku tabel z danymi do własnych potrzeb - ukrywanie/dodawanie kolumn, </w:t>
            </w:r>
            <w:proofErr w:type="spellStart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sortwanie</w:t>
            </w:r>
            <w:proofErr w:type="spellEnd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, grupowanie danych, filtracje zaawansowane, sumy, </w:t>
            </w:r>
            <w:proofErr w:type="spellStart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podsumy</w:t>
            </w:r>
            <w:proofErr w:type="spellEnd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.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Wyznaczanie tras pojazdów (integracja z serwerami mapowymi </w:t>
            </w:r>
            <w:proofErr w:type="spellStart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eMapa</w:t>
            </w:r>
            <w:proofErr w:type="spellEnd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, Google, PTV </w:t>
            </w:r>
            <w:proofErr w:type="spellStart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xServer</w:t>
            </w:r>
            <w:proofErr w:type="spellEnd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MapAndGuide</w:t>
            </w:r>
            <w:proofErr w:type="spellEnd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)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proofErr w:type="spellStart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geokodowanie</w:t>
            </w:r>
            <w:proofErr w:type="spellEnd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adresów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wizualizacja pojazdów, miejsc załadunków i rozładunków na mapie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wyznaczenie trasy, pobieranie ilości kilometrów oraz czas dotarcia do celu.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obliczanie kosztów trasy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natężenie ruchu, utrudnienia na drodze.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</w:r>
            <w:proofErr w:type="spellStart"/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streetview</w:t>
            </w:r>
            <w:proofErr w:type="spellEnd"/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położenie pojazdu na mapie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pokazywanie wolnych pojazdów w pobliżu danego punku trasy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pokazywanie zleceń w poczekalni w pobliżu danego pojazdu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podgląd historii trasy pojazdu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wysyłanie ustalonej trasy do nawigacji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zakładanie alertów typu - pojazd w strefie rozładunku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BOLESŁAWIEC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4984" w:type="dxa"/>
            <w:vAlign w:val="center"/>
          </w:tcPr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Oprogramowanie do rozliczania odpadów środowiskowych wraz z aktualizacją lub równoważny 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Licencja : EDU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Ilość Stanowisk: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15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Długość licencji: Wieczysta</w:t>
            </w:r>
            <w:r w:rsidRPr="0076620E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ab/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Powinien zawierać: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Opłaty Środowiskowe (naliczanie opłat za gospodarcze korzystanie ze środowiska w celu rozliczania się z urzędami marszałkowskimi.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naliczanie opłat w zakresie spalania paliw w silnikach spalinowych, 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wytwarzanie odpadów, 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zbieranie odpadów, baterii, odbiór odpadów PSZOK, 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wystawianie dokumentów DPO, DPR, DPUOM, DPUOW,  załącznik nr 7,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 przetwarzanie odpadów komunalnych,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 ewidencja opakowań, 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wystawianie faktur VAT, </w:t>
            </w:r>
          </w:p>
          <w:p w:rsidR="001A2E10" w:rsidRPr="0076620E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 xml:space="preserve">magazyn odpadów </w:t>
            </w:r>
          </w:p>
          <w:p w:rsidR="001A2E10" w:rsidRPr="003D0821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</w:t>
            </w:r>
            <w:r w:rsidRPr="0076620E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ab/>
              <w:t>aktualizacja na kolejny rok ,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BOLESŁAWIEC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984" w:type="dxa"/>
            <w:vAlign w:val="center"/>
          </w:tcPr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interLAN</w:t>
            </w:r>
            <w:proofErr w:type="spellEnd"/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SPEED Spedycja i Transport Cało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pojazdowy lub równoważny 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Licencja : EDU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Ilość Stanowisk: 1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6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Długość licencji: Wieczysta 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Kompleksowa obsługa wszystkich procesów w jednym systemie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Obsługa zleceń (zlecenia wstępne, spedycyjne i transportowe oraz zbiorcze)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• Zarządzanie taborem własnym i kontraktowym oraz kierowcami (ewidencja taboru, ewidencja kierowców z </w:t>
            </w: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uwzględnieniem zasad zatrudnienia i wynagrodzenia, terminarz i inne)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Finanse (faktury, noty i kompensaty, wezwania do zapłaty, rezerwy, diety i wynagrodzenia)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Rozliczenia kosztów (delegacje, karty flotowe, rozliczanie kosztów paliwa, podział kosztów międzyokresowych)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• Integracja z systemami zewnętrznymi (mapy cyfrowe, </w:t>
            </w:r>
            <w:proofErr w:type="spellStart"/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telematyka</w:t>
            </w:r>
            <w:proofErr w:type="spellEnd"/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, programy finansowo-księgowe, giełdy ładunków)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Przekrojowe raporty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Automatyzacja i usprawnienie procesów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Wycena zleceń z wykorzystaniem cenników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Fakturowanie i rejestracja płatności w komunikacji z systemami finansowo-księgowymi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Wyliczenia wynagrodzeń i rozliczenia przewoźników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Komunikacja z kierowcą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Obsługa niezgodności i reklamacji, ocena przewoźnika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Mechanizmy automatycznego powiadomienia w czasie rzeczywistym o istotnych zdarzeniach, np. planowane opóźnienie w dostawie czy aktualny status realizacji zlecenia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Optymalizacja wykorzystania zasobów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Planowanie pracy kierowców i zarządzanie taborem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Automatyczna rejestracja kart drogowych (poleceń wyjazdu)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Planowanie urlopów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Rozliczanie i nadzór nad kosztami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Możliwość policzenia rentowności pojedynczego zlecenia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Kalendarz płatności i windykacja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Delegacje, diety i zaliczki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Polisy i szkody OCS, OCP oraz komunikacyjne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Zarządzanie oponami i akumulatorami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Rozliczanie palet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Import kosztów z bezgotówkowych kart flotowych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Rozliczenia paliwa, refaktury paliwowe na przewoźników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Rozliczenia międzyokresowe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• O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bsługa skonta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 STRZELIN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4984" w:type="dxa"/>
            <w:vAlign w:val="center"/>
          </w:tcPr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Oprogramowanie logistyczne</w:t>
            </w: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lub równoważny 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Licencja : EDU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Ilość Stanowisk: 16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lastRenderedPageBreak/>
              <w:t xml:space="preserve">Długość licencji: Wieczysta 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rejestrowanie kontrahentów według różnorodnych kryteriów  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-sortowanie i wyszukiwanie kontrahentów 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-utworzenie wspólnej bazy dostawców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-utworzenie wspólnej bazy klientów wraz z zarządzaniem rabatami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zarządzanie cennikami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przygotowywanie ofert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zamówienia zakupów i sprzedaży, wydruki dokumentów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-fakturowanie zleceń 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tworzenie miejsc magazynowych i zarządzanie przestrzenią magazynową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tworzenie i ewidencjonowanie dokumentów magazynowych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-rozliczanie zleceń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-automatycznego wystawiania faktur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planowanie i rozliczanie produkcji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projektowanie wyrobu (tworzenie struktury wyrobu i marszruty technologicznej) 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-analizowanie kosztów 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-tworzenie i edycję kont kosztów  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-tworzenie harmonogramu usługi logistycznej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korzystanie z giełdy transportowej (symulacja rzeczywistych zdarzeń kupna-sprzedaży ofert)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określanie tras przejazdu na podstawie e-mapy wraz z wyceną kosztów przejazdu (nowa funkcjonalność za dodatkową opłatą)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symulowanie procesów biurowych w języku obcym (angielski, hiszpański, w przyszłości niemiecki)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zadania </w:t>
            </w:r>
            <w:proofErr w:type="spellStart"/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case</w:t>
            </w:r>
            <w:proofErr w:type="spellEnd"/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study</w:t>
            </w:r>
            <w:proofErr w:type="spellEnd"/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, powstałe przy współpracy z przedsiębiorstwami branży TSL (powstają cyklicznie co kwartał, w postaci broszury dydaktycznej – 30-40 stron z zadaniami i wstępem teoretycznym)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kilkadziesiąt zadań przygotowanych do obowiązującej i nowej podstawy programowej, z możliwością odtworzenia (wyczyszczenia) bazy danych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kilkadziesiąt filmów instruktażowych dla nauczycieli dostępnych online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pomoce dydaktyczne w postaci prezentacji PowerPoint, filmów dydaktycznych, skryptów z teorią, zadaniami i instrukcjami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- szkolenie nauczycieli z obsługi i funkcjonalności platformy - dwa razy w roku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pomoc techniczna (helpdesk) od 7:30 do 15:30 od poniedziałku do piątku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sz w:val="14"/>
                <w:szCs w:val="14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NOWA RUDA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12</w:t>
            </w:r>
          </w:p>
        </w:tc>
        <w:tc>
          <w:tcPr>
            <w:tcW w:w="4984" w:type="dxa"/>
            <w:vAlign w:val="center"/>
          </w:tcPr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Speed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SQL</w:t>
            </w: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lub równoważny 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Ilość Stanowisk: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1</w:t>
            </w:r>
          </w:p>
          <w:p w:rsidR="001A2E10" w:rsidRPr="0019536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9536C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Długość licencji: Wieczysta </w:t>
            </w:r>
          </w:p>
          <w:p w:rsidR="001A2E10" w:rsidRPr="00EE0129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-Możliwość</w:t>
            </w:r>
            <w:r w:rsidRPr="00EE012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wystawianie kart drogowych i rozliczanie kierowców z otrzymanych zaliczek i wynagrodzeń. </w:t>
            </w:r>
          </w:p>
          <w:p w:rsidR="001A2E10" w:rsidRPr="00EE0129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</w:t>
            </w:r>
            <w:r w:rsidRPr="00EE012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prowadzenie katalogu środków transportu i katalog kontrahentów</w:t>
            </w:r>
          </w:p>
          <w:p w:rsidR="001A2E10" w:rsidRPr="00EE0129" w:rsidRDefault="001A2E10" w:rsidP="00724F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E0129">
              <w:rPr>
                <w:rFonts w:ascii="Calibri" w:hAnsi="Calibri"/>
                <w:sz w:val="18"/>
                <w:szCs w:val="18"/>
              </w:rPr>
              <w:t>rejestracja zlecenia na przewóz - zlecenie przewozu jest zapisem umożliwiającym rozliczenie pod zleceniem zarówno dokumentów sprzedaży jak i zakupu usług oraz kosztów własnego transportu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</w:t>
            </w:r>
            <w:r w:rsidRPr="005F45A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rejestrację zamówień klienta - obejmuje przypadek jeśli zlecenie klient zamawiający rozbija na kilka zamówień np.. ze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</w:t>
            </w:r>
            <w:r w:rsidRPr="005F45A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zględu na to, że zlecenie obejmuje odcinek krajowy i zagraniczny lub kilka tras - przypadek gdy jedno zlecenie będzie sprzedawane - fakturowane nie jednym dokumentem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</w:t>
            </w:r>
            <w:r w:rsidRPr="005F45A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przygotowanie i ewidencjonowanie zamówień - zleceń na przewóz dla firm transportowych wynajmowanych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</w:t>
            </w:r>
            <w:r w:rsidRPr="005F45A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przygotowanie i rozliczenie kart drogowych dla własnych środków transportu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</w:t>
            </w:r>
            <w:r w:rsidRPr="005F45A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analiza rentowności zlecenia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 xml:space="preserve">5 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SZCZAWNO ZDRÓJ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 xml:space="preserve">4 WAŁBRZYCH 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984" w:type="dxa"/>
            <w:vAlign w:val="center"/>
          </w:tcPr>
          <w:p w:rsidR="001A2E10" w:rsidRPr="00D2317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D2317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TachoSymulator</w:t>
            </w:r>
            <w:proofErr w:type="spellEnd"/>
            <w:r w:rsidRPr="00D2317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DTCO 1381lub równoważny </w:t>
            </w:r>
          </w:p>
          <w:p w:rsidR="001A2E10" w:rsidRPr="00D2317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2317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2317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Długość licencji: Wieczysta </w:t>
            </w:r>
          </w:p>
          <w:p w:rsidR="001A2E10" w:rsidRPr="00D2317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</w:t>
            </w:r>
            <w:r w:rsidRPr="00D2317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program komputerowy do kształcenia kierowców.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Powinien umożliwiać</w:t>
            </w:r>
            <w:r w:rsidRPr="00D2317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wykonywanie wszystkich funkcji jak w tachografie zamontowanym w pojeździe. Zalety:</w:t>
            </w:r>
          </w:p>
          <w:p w:rsidR="001A2E10" w:rsidRPr="00D2317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317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Symuluje pracę tachografu cyfrowego.</w:t>
            </w:r>
          </w:p>
          <w:p w:rsidR="001A2E10" w:rsidRPr="00D2317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317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Umożliwia wykonywanie wszystkich funkcji</w:t>
            </w:r>
          </w:p>
          <w:p w:rsidR="001A2E10" w:rsidRPr="00D2317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317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Wykonuje przykładowe wydruki</w:t>
            </w:r>
          </w:p>
          <w:p w:rsidR="001A2E10" w:rsidRPr="00D2317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317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Szkolenie kierowców może odbywać się na rzutniku</w:t>
            </w:r>
          </w:p>
          <w:p w:rsidR="001A2E10" w:rsidRPr="00D2317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317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Zawartość: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D2317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Płyta z programem symulatora.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4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.SZCZAWNO ZDROJ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3  WAŁBRZYCH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4984" w:type="dxa"/>
            <w:vAlign w:val="center"/>
          </w:tcPr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ASSECO WAPRO WF-MAG SPRZEDAŻ I MAGAZYN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1661D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lub równoważny 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Licencja : EDU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Ilość Stanowisk: 1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Długość licencji: Wieczysta 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2317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Program do obsługi sprzedaży i gospodarki magazynowej w małych firmach handlowych, usługowych i produkcyjnych o różnym profilu działalności, prowadzących pojedynczy magazyn. Aplikacja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powinna pozwalać</w:t>
            </w:r>
            <w:r w:rsidRPr="00D2317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na wspomaganie sprzedaży detalicznej i hurtowej z wykorzystaniem drukarki fiskalnej. Umożliwia tworzenie wariantów cenników sprzedaży, upustów, kontrolę zobowiązań i należności. Zapewnia stały nadzór nad zapasami magazynowymi. Pozwala na rozliczanie i kontrolę stanu rozrachunków w oparciu o raport kasowy i wyciągi bankowe. Oprócz tego ułatwia analizę przepływu towarowego, poprzez możliwość tworzenia różnorodnych zestawień przychodów i rozcho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dów towarów w dowolnym okresie.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 WAŁBRZYCH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84" w:type="dxa"/>
            <w:vAlign w:val="center"/>
          </w:tcPr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WAPRO WF-FAKTURKA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1661D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lub równoważny 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Licencja : EDU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Ilość Stanowisk: 1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Długość licencji: Wieczysta 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Wystawianie i ewidencja dokumentów sprzedaży - Faktur VAT, Rachunków, Paragonów, Faktur Korygujących. Dostępne są różne wzorce wydruku pozwalające dopasować wygląd dokumentu do upodobań użytkownika.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Obsługa większości dostępnych na rynku drukarek fiskalnych.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Seryjne drukowanie dokumentów handlowych.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Kontrola zobowiązań i uproszczone mechanizmy rozliczeń z klientami.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Drukowanie i ewidencja przelewów - dostępnych jest kilka wzorców wydruku.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WF-Fakturka posiada szereg kartotek, pozwalających na tworzenie list ułatwiających prowadzenie Twojej firmy: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Kartoteka towarów i usług - pozwala na stworzenie listy towarów handlowych lub usług, które oferuje firma, wraz z informacjami dodatkowymi oraz cennikiem. Program nie prowadzi stanu </w:t>
            </w: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magazynowego w przypadku towarów.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Kartoteka klientów - gromadzi podstawowe dane o naszych odbiorcach.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Rejestr dokumentów handlowych (faktur, rachunków, paragonów, korekt) - zawiera listę wystawionych dokumentów handlowych wraz z informacjami o stanie ich rozliczenia.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Rejestr przelewów - zawiera listę wystawionych przelewów bankowych.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Wiele zestawień ułatwiających prowadzenie księgowości oraz analizę sprzedaży.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</w:t>
            </w: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Podstawowe zestawienia drukowane przez program to: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Oferta handlowa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Lista kontrahentów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Rejestr dokumentów handlowych (Faktur)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Rejestr VAT sprzedaży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Rejestr faktur niezapłaconych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Rejestr przelewów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Sprzedaż w dowolnym okresie w układzie asortymentowym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Sprzedaż w dowolnym okresie z podziałem na kategorie asortymentowe</w:t>
            </w:r>
          </w:p>
          <w:p w:rsidR="001A2E10" w:rsidRPr="001661D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1661D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Sprzedaż w dowolnym okresie wg klientów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 WAŁBRZYCH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16</w:t>
            </w:r>
          </w:p>
        </w:tc>
        <w:tc>
          <w:tcPr>
            <w:tcW w:w="4984" w:type="dxa"/>
            <w:vAlign w:val="center"/>
          </w:tcPr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54031A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cartall</w:t>
            </w:r>
            <w:proofErr w:type="spellEnd"/>
            <w:r w:rsidRPr="0054031A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truck lub równoważny 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Ilość Stanowisk: 15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Długość licencji: Wieczysta 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oprogramowanie powinno umożliwiać: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-wyszukanie dowolnego adresu na terenie Polski,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wyświetlenie ulic, skrzyżowań, punktów charakterystycznych np.. Hoteli, stacji benzynowych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-wytyczenie trasy między dowolną ilością punktów według odpowiednych algorytmów np. trasa najszybsza ale z uwzględnieniem ograniczeń np. tonażowych, czy z uwzględnieniem obszarów wyłączonych z ruchu,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-importowanie tras z innych urządzeń lub programów np. z GPS oraz eksport tras wytyczonych w oprogramowaniu na inne nośniki,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prowadzenie ewidencji kierowców i pojazdów (możliwość zdefiniowania prędkości przejazdu dla różnych rodzajów dróg, </w:t>
            </w: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zużycia paliwa itp.);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zapisywanie poszczególnych widoków mapy, 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-robienie dowolnych wydruków oraz zrzutów ekranowych;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opis trasy ze szczegółowymi wskazówkami jak pokonywać poszczególne odcinki trasy;</w:t>
            </w:r>
          </w:p>
          <w:p w:rsidR="001A2E10" w:rsidRPr="0054031A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54031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 ustawienia bazy startowej i bazy docelowej.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4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 SZCZAWNO ZD</w:t>
            </w:r>
            <w:r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R</w:t>
            </w: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OJ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2.WAŁBRZYCH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 KAMIENNA GÓRA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4984" w:type="dxa"/>
            <w:vAlign w:val="center"/>
          </w:tcPr>
          <w:p w:rsidR="001A2E10" w:rsidRPr="00051CF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Corel Draw Graphics Suite X8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lub równoważny </w:t>
            </w:r>
          </w:p>
          <w:p w:rsidR="001A2E10" w:rsidRPr="00051CF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Licencja : EDU</w:t>
            </w:r>
          </w:p>
          <w:p w:rsidR="001A2E10" w:rsidRPr="00051CF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Ilość Stanowisk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: 16</w:t>
            </w:r>
          </w:p>
          <w:p w:rsidR="001A2E10" w:rsidRPr="00051CF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Długość licencji: Wieczysta </w:t>
            </w:r>
          </w:p>
          <w:p w:rsidR="001A2E10" w:rsidRPr="006615D2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Program do projektowania grafiki, edycji zdjęć oraz do tworzenia witryn  z obsługą Windows 7,8,10 z możliwością pracy na kilku monitorach posiadający funkcje:</w:t>
            </w:r>
          </w:p>
          <w:p w:rsidR="001A2E10" w:rsidRPr="006615D2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W pełni konfigurowalny interfejs, umożliwiający dostosowywanie obszaru projektowania do potrzeb użytkownika. Praca z wieloma dokumentami w widoku kart. Możliwość przeciągania dokumentu poza okno aplikacji, aby go </w:t>
            </w:r>
            <w:proofErr w:type="spellStart"/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oddokować</w:t>
            </w:r>
            <w:proofErr w:type="spellEnd"/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podczas pracy z wieloma dokumentami. Pełne wykorzystanie możliwości pióra, tabletu lub innego urządzenia czułego na nacisk i nachylenie rysika obsługującego interfejs RTS Obsługa funkcji dotykowych systemu Windows, Program powinien mieć możliwość kopiowania i wycinania segmentów krzywych, a następnie wklejania je jako obiekty.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Powinien pozwalać na tworzenie i zapisywanie wypełnień mapą bitową lub deseniem wektorowym na podstawie obiektów zaznaczonych na obszarze roboczym oraz umożliwiać usuwanie postrzępionych krawędzi i zmniejszanie liczby węzłów w obiektach złożonych z krzywych. Pozwalać na precyzyjne określanie rozmiaru obiektu i jego położenia na stronie w oknie dokowanym współrzędnych obiektu, wyświetlać, filtrować i wyszukiwać czcionki, korzystając listy czcionek. Korygować zniekształcenia perspektywy na zdjęciach zawierających linie proste i płaskie powierzchnie, np. przedstawiających budynki czy inne obiekty architektoniczne. Wyostrzać zdjęcia poprzez zwiększenie kontrastu sąsiednich pikseli przy zachowaniu szczegółów takich elementów jak krawędzie i duże struktury Tworzyć kody QR z tekstem, obrazkami i kolorami. Powinien </w:t>
            </w:r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posiadać możliwość nałożenia maski na grupę obiektów bez modyfikowania poszczególnych obiektów, przekształcać mapy bitowe w edytowalną grafikę wektorową, importować i dostosowywać pliki RAW bezpośrednio z aparatu cyfrowego.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JELENIA GÓRA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CA16C9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18</w:t>
            </w:r>
          </w:p>
        </w:tc>
        <w:tc>
          <w:tcPr>
            <w:tcW w:w="4984" w:type="dxa"/>
            <w:vAlign w:val="center"/>
          </w:tcPr>
          <w:p w:rsidR="001A2E10" w:rsidRPr="00051CF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CAD </w:t>
            </w:r>
            <w:proofErr w:type="spellStart"/>
            <w:r w:rsidRPr="00BA3BBA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SolidEdge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lub równoważny </w:t>
            </w:r>
          </w:p>
          <w:p w:rsidR="001A2E10" w:rsidRPr="00051CF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Licencja : EDU</w:t>
            </w:r>
          </w:p>
          <w:p w:rsidR="001A2E10" w:rsidRPr="00051CF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Ilość Stanowisk: 1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BA3BB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– projektowanie 3D, symulacje, wytwarzanie, zarządzanie projektem i wiele więcej dzięki rosnącej liczbie aplikacji. 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- </w:t>
            </w:r>
            <w:r w:rsidRPr="00BA3BB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modelowania bezpośredniego z elastycznością i kontrolą modelowania parametrycznego,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-</w:t>
            </w:r>
            <w:r w:rsidRPr="00BA3BBA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technologia synchroniczna.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- </w:t>
            </w:r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modelowania trójwymiarowych, cyfrowych prototypów maszyn i urządzeń, pozwalając również kontrolować poprawność projektu oraz przeprowadzania różnego rodzaju analiz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1 JELENIA GORA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2E10" w:rsidRPr="00E57ABC" w:rsidTr="001B474E">
        <w:tc>
          <w:tcPr>
            <w:tcW w:w="485" w:type="dxa"/>
          </w:tcPr>
          <w:p w:rsidR="001A2E10" w:rsidRPr="00CA16C9" w:rsidRDefault="001A2E10" w:rsidP="00672A5F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4984" w:type="dxa"/>
            <w:vAlign w:val="center"/>
          </w:tcPr>
          <w:p w:rsidR="001A2E10" w:rsidRPr="00051CF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6615D2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SinuTrain</w:t>
            </w:r>
            <w:proofErr w:type="spellEnd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lub równoważny </w:t>
            </w:r>
          </w:p>
          <w:p w:rsidR="001A2E10" w:rsidRPr="00051CF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Licencja : EDU</w:t>
            </w:r>
          </w:p>
          <w:p w:rsidR="001A2E10" w:rsidRPr="00051CF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Ilość Stanowisk: 1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8</w:t>
            </w:r>
          </w:p>
          <w:p w:rsidR="001A2E10" w:rsidRPr="00051CF4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Wersja Językowa: PL</w:t>
            </w:r>
          </w:p>
          <w:p w:rsidR="001A2E10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051CF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Długość licencji: Wieczysta </w:t>
            </w:r>
          </w:p>
          <w:p w:rsidR="001A2E10" w:rsidRPr="006615D2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systemu obsługi, tj. panel operatorski, pulpit maszynowy (z korektorami posuwu oraz wrzeciona) i klawiatura CNC, które użytkownik obsługuje przy pomocy myszki. Dzięki temu, pracując na poziomie komputera PC, wykonuje on identyczne operacje i czynności, jakie są wykonywane na rzeczywistej maszynie.</w:t>
            </w:r>
          </w:p>
          <w:p w:rsidR="001A2E10" w:rsidRPr="006615D2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technologia</w:t>
            </w:r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obróbki przy użyciu dokładnie tych samych narzędzi, jakie istnieją w rzeczywistym sterowaniu, tj. języka programowania DIN/ISO, komend języka wysokiego poziomu, technologicznych nakładek warsztatowych (typu </w:t>
            </w:r>
            <w:proofErr w:type="spellStart"/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ShopMill</w:t>
            </w:r>
            <w:proofErr w:type="spellEnd"/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/ </w:t>
            </w:r>
            <w:proofErr w:type="spellStart"/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ShopTurn</w:t>
            </w:r>
            <w:proofErr w:type="spellEnd"/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), graficznego wspomagania programowania geometrii konturu, parametryzowania cykli te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chnologicznych itp. Zapewnienie</w:t>
            </w:r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także identyczn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ych funkcji</w:t>
            </w:r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w zakresie wykonywania graficznej symulacji programów.</w:t>
            </w:r>
          </w:p>
          <w:p w:rsidR="001A2E10" w:rsidRPr="006615D2" w:rsidRDefault="001A2E10" w:rsidP="00724FA7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</w:p>
          <w:p w:rsidR="001A2E10" w:rsidRPr="00D477CC" w:rsidRDefault="001A2E10" w:rsidP="00724FA7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6615D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sposobność współpracy z systemami typu CAD, </w:t>
            </w:r>
          </w:p>
        </w:tc>
        <w:tc>
          <w:tcPr>
            <w:tcW w:w="1418" w:type="dxa"/>
            <w:vAlign w:val="center"/>
          </w:tcPr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</w:t>
            </w: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1A2E10" w:rsidRPr="00F27FBF" w:rsidRDefault="001A2E10" w:rsidP="00724FA7">
            <w:pPr>
              <w:suppressAutoHyphens/>
              <w:snapToGrid w:val="0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F27FBF">
              <w:rPr>
                <w:rFonts w:ascii="Calibri" w:eastAsia="Times New Roman" w:hAnsi="Calibri" w:cs="Verdana"/>
                <w:b/>
                <w:sz w:val="14"/>
                <w:szCs w:val="18"/>
                <w:lang w:eastAsia="ar-SA"/>
              </w:rPr>
              <w:t>2 JELENIA GORA</w:t>
            </w:r>
          </w:p>
        </w:tc>
        <w:tc>
          <w:tcPr>
            <w:tcW w:w="1276" w:type="dxa"/>
          </w:tcPr>
          <w:p w:rsidR="001A2E10" w:rsidRPr="00E57ABC" w:rsidRDefault="001A2E10" w:rsidP="00672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</w:tr>
      <w:tr w:rsidR="001A2E10" w:rsidRPr="00E57ABC" w:rsidTr="007A78AA">
        <w:tc>
          <w:tcPr>
            <w:tcW w:w="12680" w:type="dxa"/>
            <w:gridSpan w:val="7"/>
          </w:tcPr>
          <w:p w:rsidR="001A2E10" w:rsidRPr="00E57ABC" w:rsidRDefault="001A2E10" w:rsidP="007A7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275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2E10" w:rsidRPr="00E57ABC" w:rsidRDefault="001A2E10" w:rsidP="00E57ABC">
            <w:pPr>
              <w:rPr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lastRenderedPageBreak/>
        <w:t>Gwarancja. Udzielona gwarancja w miesiącach ……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  <w:bookmarkStart w:id="0" w:name="_GoBack"/>
      <w:bookmarkEnd w:id="0"/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42045D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42045D" w:rsidRDefault="003D1F18" w:rsidP="0042045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42045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02" w:rsidRDefault="00D57502" w:rsidP="00411BDF">
      <w:pPr>
        <w:spacing w:after="0" w:line="240" w:lineRule="auto"/>
      </w:pPr>
      <w:r>
        <w:separator/>
      </w:r>
    </w:p>
  </w:endnote>
  <w:endnote w:type="continuationSeparator" w:id="0">
    <w:p w:rsidR="00D57502" w:rsidRDefault="00D57502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672A5F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672A5F" w:rsidTr="00F377C8">
            <w:trPr>
              <w:trHeight w:val="859"/>
            </w:trPr>
            <w:tc>
              <w:tcPr>
                <w:tcW w:w="16392" w:type="dxa"/>
              </w:tcPr>
              <w:p w:rsidR="00672A5F" w:rsidRDefault="00672A5F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672A5F" w:rsidRPr="007807CF" w:rsidRDefault="00672A5F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672A5F" w:rsidRPr="00562BD5" w:rsidRDefault="00672A5F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672A5F" w:rsidRDefault="00672A5F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672A5F" w:rsidRDefault="00672A5F" w:rsidP="003116CE">
          <w:pPr>
            <w:pStyle w:val="Stopka"/>
            <w:jc w:val="center"/>
          </w:pPr>
        </w:p>
      </w:tc>
    </w:tr>
  </w:tbl>
  <w:p w:rsidR="00672A5F" w:rsidRDefault="00672A5F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02" w:rsidRDefault="00D57502" w:rsidP="00411BDF">
      <w:pPr>
        <w:spacing w:after="0" w:line="240" w:lineRule="auto"/>
      </w:pPr>
      <w:r>
        <w:separator/>
      </w:r>
    </w:p>
  </w:footnote>
  <w:footnote w:type="continuationSeparator" w:id="0">
    <w:p w:rsidR="00D57502" w:rsidRDefault="00D57502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F" w:rsidRDefault="00672A5F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A5F" w:rsidRDefault="00672A5F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E65B5"/>
    <w:rsid w:val="001042FE"/>
    <w:rsid w:val="00104FA9"/>
    <w:rsid w:val="00120560"/>
    <w:rsid w:val="00142955"/>
    <w:rsid w:val="00155413"/>
    <w:rsid w:val="001A2E10"/>
    <w:rsid w:val="001A6183"/>
    <w:rsid w:val="001D1F42"/>
    <w:rsid w:val="001D5DF7"/>
    <w:rsid w:val="001E2AF5"/>
    <w:rsid w:val="001E7191"/>
    <w:rsid w:val="00204EE8"/>
    <w:rsid w:val="00216693"/>
    <w:rsid w:val="002205B6"/>
    <w:rsid w:val="0024690A"/>
    <w:rsid w:val="00246F58"/>
    <w:rsid w:val="0026439E"/>
    <w:rsid w:val="0029604D"/>
    <w:rsid w:val="00297035"/>
    <w:rsid w:val="003116CE"/>
    <w:rsid w:val="003825FD"/>
    <w:rsid w:val="003869D1"/>
    <w:rsid w:val="003D1F18"/>
    <w:rsid w:val="003E5AFE"/>
    <w:rsid w:val="004063F5"/>
    <w:rsid w:val="00411BDF"/>
    <w:rsid w:val="00416C85"/>
    <w:rsid w:val="004171B6"/>
    <w:rsid w:val="0042045D"/>
    <w:rsid w:val="00462F04"/>
    <w:rsid w:val="00516802"/>
    <w:rsid w:val="00555E94"/>
    <w:rsid w:val="00562BD5"/>
    <w:rsid w:val="005814B2"/>
    <w:rsid w:val="00592731"/>
    <w:rsid w:val="005C5C22"/>
    <w:rsid w:val="00616BE0"/>
    <w:rsid w:val="00672A5F"/>
    <w:rsid w:val="006C7615"/>
    <w:rsid w:val="006D7D49"/>
    <w:rsid w:val="006F6301"/>
    <w:rsid w:val="007216F5"/>
    <w:rsid w:val="00740670"/>
    <w:rsid w:val="00771AC6"/>
    <w:rsid w:val="007807CF"/>
    <w:rsid w:val="007A78AA"/>
    <w:rsid w:val="007C5C70"/>
    <w:rsid w:val="007D5C43"/>
    <w:rsid w:val="007F1848"/>
    <w:rsid w:val="00805180"/>
    <w:rsid w:val="008640E8"/>
    <w:rsid w:val="008A617F"/>
    <w:rsid w:val="008B3962"/>
    <w:rsid w:val="008D54BB"/>
    <w:rsid w:val="008F7118"/>
    <w:rsid w:val="00901C17"/>
    <w:rsid w:val="0091346E"/>
    <w:rsid w:val="00917579"/>
    <w:rsid w:val="009F2627"/>
    <w:rsid w:val="00A42C2F"/>
    <w:rsid w:val="00A52D97"/>
    <w:rsid w:val="00A606E5"/>
    <w:rsid w:val="00A75635"/>
    <w:rsid w:val="00A83099"/>
    <w:rsid w:val="00AA0614"/>
    <w:rsid w:val="00AE0A87"/>
    <w:rsid w:val="00BB689F"/>
    <w:rsid w:val="00C72323"/>
    <w:rsid w:val="00C752AE"/>
    <w:rsid w:val="00C96C95"/>
    <w:rsid w:val="00CC381F"/>
    <w:rsid w:val="00D07CBC"/>
    <w:rsid w:val="00D3402C"/>
    <w:rsid w:val="00D41D16"/>
    <w:rsid w:val="00D57502"/>
    <w:rsid w:val="00DA62F3"/>
    <w:rsid w:val="00DE606A"/>
    <w:rsid w:val="00E01AA4"/>
    <w:rsid w:val="00E169F1"/>
    <w:rsid w:val="00E37E9E"/>
    <w:rsid w:val="00E5458C"/>
    <w:rsid w:val="00E57ABC"/>
    <w:rsid w:val="00E67BA7"/>
    <w:rsid w:val="00E817DB"/>
    <w:rsid w:val="00E914FB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2D32-9DD0-45F1-A7FC-2DA50383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4476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8</cp:revision>
  <cp:lastPrinted>2017-01-03T07:26:00Z</cp:lastPrinted>
  <dcterms:created xsi:type="dcterms:W3CDTF">2017-05-04T09:22:00Z</dcterms:created>
  <dcterms:modified xsi:type="dcterms:W3CDTF">2017-05-09T13:16:00Z</dcterms:modified>
</cp:coreProperties>
</file>